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eastAsia" w:ascii="宋体" w:hAnsi="宋体" w:eastAsia="宋体" w:cs="宋体"/>
          <w:i w:val="0"/>
          <w:caps w:val="0"/>
          <w:color w:val="333333"/>
          <w:spacing w:val="0"/>
          <w:sz w:val="28"/>
          <w:szCs w:val="28"/>
        </w:rPr>
      </w:pPr>
      <w:r>
        <w:rPr>
          <w:rFonts w:hint="eastAsia" w:ascii="宋体" w:hAnsi="宋体" w:eastAsia="宋体" w:cs="宋体"/>
          <w:i w:val="0"/>
          <w:caps w:val="0"/>
          <w:color w:val="333333"/>
          <w:spacing w:val="0"/>
          <w:sz w:val="28"/>
          <w:szCs w:val="28"/>
          <w:bdr w:val="none" w:color="auto" w:sz="0" w:space="0"/>
        </w:rPr>
        <w:t>高等学校哲学社会科学繁荣计划专项资金管理办法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第一条 为促进高校哲学社会科学事业持续健康协调发展，加强和规范高等学校哲学社会科学繁荣计划专项资金（以下简称繁荣计划专项资金）管理，提高资金使用效益，根据党中央、国务院关于深入推进高等学校哲学社会科学繁荣发展的有关精神、《中共中央办公厅 国务院办公厅关于进一步完善中央财政科研项目资金管理等政策的若干意见》以及国家财政财务管理有关法律法规，制定本办法。</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第二条 繁荣计划专项资金由中央财政安排，是用于支持“高等学校哲学社会科学繁荣计划”（以下简称繁荣计划）社会科学研究、学科发展、人才培养和队伍建设的专项资金。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第三条 繁荣计划专项资金以促进出成果、出人才为目标，坚持以人为本、遵循规律、“放管服”结合，坚持统筹规划、分类实施、专款专用、规范高效的管理原则。繁荣计划专项资金管理充分体现质量创新和实际贡献，赋予依托学校和项目负责人更大的管理权限。在简政放权的同时，注重规范管理、改进服务，为科研人员潜心研究创造良好条件和宽松环境，充分调动科研人员积极性创造性。</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第四条 财政部、教育部负责制定繁荣计划专项资金管理制度，研究制定预算安排的总体方案。教育部负责编制繁荣计划专项资金年度预算、组织实施和管理监督工作，建立健全项目绩效考评机制。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第五条 项目依托学校是繁荣计划项目实施和资金管理使用的责任主体，应当制定和完善本单位项目和资金管理办法，按要求具体负责项目组织、实施、评价等全过程管理；将项目资金纳入学校预算，指导和审核项目预算编制，承担项目资金的财务管理和会计核算，监督项目资金使用，审核项目决算。</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项目依托学校的财务和科研管理等相关部门，要根据学科特点和实际需要,加强对项目预算执行和资金使用的指导；注重科学管理、改进服务，为项目实施提供条件保障。</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第六条 项目负责人是项目管理和资金使用的直接责任人，应当按照本办法规定，科学编制项目预算和决算，合理合规使用资金。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项目负责人应当严格遵守国家预算和财务管理规定，对资金使用和项目实施的合规性、合理性、真实性和相关性负责，并承担相应的经济与法律责任。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第二章  支出范围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第七条 繁荣计划专项资金分为研究项目资金、非研究项目资金和管理资金。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第八条 本办法第七条所称研究项目是指围绕繁荣计划建设任务设立的各类高校哲学社会科学研究项目的总称。研究项目资金包括在项目研究过程中发生的直接费用和间接费用。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第九条 直接费用包括图书资料费、数据采集费、会议费/差旅费/国际合作与交流费、设备费、专家咨询费、劳务费、印刷费/宣传费等。其中：</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图书资料费：指在项目研究过程中购买必要的图书（包括外文图书）、专业软件，资料收集、整理、录入、复印、翻拍、翻译，文献检索等费用。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数据采集费：指在项目研究过程中开展问卷调查、田野调查、数据购买、数据分析及相应技术服务购买等费用。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会议费/差旅费/国际合作与交流费：指围绕项目研究组织开展学术研讨、咨询交流、考察调研等活动而发生的会议、交通、食宿费用，以及项目研究人员出国及赴港澳台地区、外国专家来华及港澳台地区专家来内地开展学术合作与交流的费用。其中，不超过直接费用20%的，不需要提供预算测算依据。</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设备费：指在项目研究过程中购置设备和设备耗材、升级维护现有设备以及租用外单位设备而发生的费用。应当严</w:t>
      </w:r>
      <w:bookmarkStart w:id="0" w:name="_GoBack"/>
      <w:bookmarkEnd w:id="0"/>
      <w:r>
        <w:rPr>
          <w:rFonts w:hint="eastAsia" w:ascii="宋体" w:hAnsi="宋体" w:eastAsia="宋体" w:cs="宋体"/>
          <w:b w:val="0"/>
          <w:i w:val="0"/>
          <w:caps w:val="0"/>
          <w:color w:val="000000"/>
          <w:spacing w:val="0"/>
          <w:sz w:val="21"/>
          <w:szCs w:val="21"/>
          <w:bdr w:val="none" w:color="auto" w:sz="0" w:space="0"/>
        </w:rPr>
        <w:t>格控制设备购置，鼓励共享、租赁以及对现有设备进行升级改造。</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专家咨询费：指在项目研究过程中支付给临时聘请的咨询专家的费用。专家咨询费由项目负责人按照项目研究实际需要编制，支出标准按照国家有关规定执行。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劳务费：指在项目研究过程中支付给参与项目研究的研究生、博士后、访问学者和项目聘用的研究人员、科研辅助人员等的劳务费用。项目聘用人员的劳务费开支标准，参照当地科学研究和技术服务业人员平均工资水平以及在项目研究中承担的工作任务确定，其社会保险补助费用纳入劳务费列支。劳务费预算由项目负责人按照项目研究实际需要编制。</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印刷费/宣传费：指在项目研究过程中支付的打印、印刷和出版、成果推介等费用。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其他：指与项目研究直接相关的除上述费用之外的其他支出。其他支出应当在项目预算中单独列示，单独核定。</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第十条 间接费用是指项目依托学校在组织实施项目过程中发生的无法在直接费用中列支的相关费用，主要包括补偿学校为项目研究提供的现有仪器设备及房屋、水、电、气、暖消耗等间接成本，有关管理工作费用，以及激励科研人员的绩效支出等。</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间接费用一般按照不超过项目支出总额的一定比例核定。具体比例如下：50万元及以下部分为30%；超过50万元至500万元的部分为20%；超过500万元的部分为13%。严禁超额提取、变相提取和重复提取。</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间接费用应当纳入项目依托学校预算统筹安排，合规合理使用。项目依托学校统筹安排间接费用时，应当处理好合理分摊间接成本和对科研人员激励的关系，绩效支出安排应当结合项目研究进度和完成质量，与科研人员在项目工作中的实际贡献挂钩。</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第十一条 非研究项目资金指支撑高校哲学社会科学科研机构、团队以及智库运行、优秀成果奖励等繁荣计划建设项目的资金。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非研究项目资金按照“绩效导向、稳定支持、协议管理、动态调整”的原则进行资助和管理，可以通过第三方评估将相关优秀的研究机构（或者智库、团队）纳入资助范围。</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在财政部、教育部核定的资金总额内，依托高校和相关研究机构（或者智库、团队）根据绩效目标，围绕实现培养拔尖人才、服务国家重大战略、推出学术精品力作、扩大对外学术交流等任务，按规定自主编制资金预算，自主决定使用方向。同时，应当完善资金管理办法，提高资金使用效益，注重发挥绩效激励作用，尊重科研工作者的创造性劳动，体现知识创造价值。</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教育部与依托学校、受资助研究机构（或者智库、团队）约定建设周期内的目标任务，委托第三方进行评价考核，根据实际绩效实行有差别的稳定支持，并采取优胜劣汰、动态调整的管理方式。</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财政部、教育部按规定对获得教育部科学研究优秀成果奖（人文社会科学）的成果进行奖励，对被采用和向有关部门报送的有价值、高水平的咨政成果实行后期资助和事后奖励。学校不得对奖励资金提取间接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第十二条 管理资金是指教育部在实施繁荣计划过程中组织、协调、评审、鉴定等管理性工作所需费用。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在繁荣计划实施过程中，应按照“管、办、评”分离原则，推进政府购买服务，规范向社会力量购买服务的程序和方式，切实转变政府职能。</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第十三条 繁荣计划专项资金项目中的相关开支标准，按照国家以及项目依托学校的有关规定执行。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第十四条 繁荣计划专项资金应当专款专用，不得用于偿还贷款、支付罚款、捐赠、赞助、对外投资等支出，不得用于本单位编制内人员的工资支出，不得用于繁荣计划建设项目之外的支出，不得用于其他不符合国家规定的支出。</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负责人应当按照批准的项目预算，在依托学校财务、科研管理部门的指导下使用项目资金；依托学校和个人不得以任何理由和方式截留、挤占和挪用。繁荣计划专项资金项目中涉及仪器设备采购的，按国家关于政府采购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第三章  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第十五条 项目申请人在申报繁荣计划项目资金时，应当根据项目类别和要求，按照项目实际需要和资金开支范围规定，科学合理、实事求是地按年度编制项目预算、设定项目绩效目标，并对直接费用支出的主要用途和测算理由等作出说明。</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资金需要转拨协作单位的，应在预算中单独列示，并对外协单位资质、承担的研究任务、外拨资金额度等进行详细说明。项目负责人应对合作（外协）业务的真实性、相关性负责。间接费用外拨金额，由项目依托学校和合作研究单位协商确定。</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第十六条 教育部根据繁荣计划建设目标和建设内容，重点对项目预算的目标相关性、政策相符性、经济合理性进行评审。应建立评审专家库，建立和完善评审专家的遴选、回避、信用和问责制度。</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第十七条 教育部根据部门预算编制要求，在部门预算“一上”时，将繁荣计划专项资金三年支出规划和年度预算建议数报送财政部，财政部按部门预算程序审核后批复年度预算。</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第十八条 教育部根据繁荣计划项目类别和完成期限向项目依托学校下达项目预算。其中，研究项目预算一次核定、按年度分期分批下达。未通过年度或中期检查的，停止下达下一年度后续项目预算；非研究项目资金采取一次核定、按年度一次性下达。 </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繁荣计划专项资金支付按照国库集中支付制度有关规定执行。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第十九条 项目依托学校应当将资金纳入学校财务部门统一管理。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严格按照国家有关规定和本办法规定，制定内部管理办法，明确审批程序、管理要求和报销规定，落实项目预算调剂、间接费用统筹使用、劳务费分配管理、结转结余资金使用等管理权限，建立健全内控制度，加强对项目资金的监督和管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学校应当指导项目负责人科学合理编制预算，规范预算调剂程序，完善项目资金支出、报销审核监督制度，加强对专家咨询费、劳务费、外拨资金、间接费用、结转结余资金等的审核和管理。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学校应当强化对合作项目真实性、可行性和合规性的审核，严格防止虚假资源匹配和虚假合作，坚决杜绝假借合作名义骗取资金。</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学校应当建立健全科研财务助理制度，为科研人员在项目预算编制和调剂、资金支出、项目资金决算和验收等方面提供专业化服务。充分利用信息化手段，建立健全单位内部科研、财务、项目负责人共享的信息平台，提高科研管理效率和便利化程度。</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第二十条 项目预算一经批复，必须严格执行。确需调剂的，应当按规定报批。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由于研究内容或者研究计划作出重大调整等原因，确需增加或减少预算总额的，由依托学校审核同意后报教育部审批。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在项目预算总额不变的情况下，支出科目和金额确需调剂的，由项目负责人根据实际需要提出调剂申请，报依托学校审批。会议费/差旅费/国际合作与交流费、劳务费、　　　　专家咨询费预算一般不予调增，可以调减用于项目其他方面支出。如有特殊情况确需调增的，由项目负责人提出申请，经学校审核同意后，报教育部审批。间接费用原则上不得调剂。原项目预算未列示外拨资金，需要增列的，或者已列示的外拨资金确需调整的，由项目负责人提出申请，报依托学校审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第二十一条 项目依托学校应当严格执行国家有关资金支出管理制度。对应当实行“公务卡”结算的支出，按照公务卡结算的有关规定执行。专家咨询费、劳务费等支出，原则上应当通过银行转账方式结算，从严控制现金支出事项。</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对于野外考察、数据采集等科研活动中无法取得发票或财政性票据的支出，在确保真实性的前提下，依托学校可按实际发生额予以报销。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第四章  决算管理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left"/>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第二十二条 项目负责人应当按照规定编制项目资金年度决算。项目依托学校应将繁荣计划专项资金收支情况纳入单位年度决算统一编报。</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第二十三条 项目完成后，项目负责人应当会同学校财务部门清理账目，据实编报项目决算，并附财务部门审核确认的项目资金收支明细账，与项目结项材料一并报送教育部。项目负责人和依托学校不得随意调账变动支出、随意修改记账凭证。</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第二十四条 对于研究项目资金,项目在研期间，年度结转资金可以在下一年度继续使用。项目完成目标任务并通过验收后，结余资金可以用于项目最终成果出版及后续研究的直接支出，或由项目依托学校统筹安排用于科研活动的直接支出。若项目审核验收2年后结余资金仍有剩余的，应当按原渠道退回教育部。对于非研究项目资金和管理资金,按照财政部关于结转结余资金管理有关规定执行。</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第二十五条 项目因故终止或被撤销，依托学校应当及时清理账目与资产，编制财务决算及资产清单，审核汇总后报送教育部。已拨资金或其剩余部分按原渠道退回教育部。</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第二十六条 凡使用繁荣计划专项资金形成的固定资产、无形资产等均属国有资产，应当按照国有资产管理的有关规定执行。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第五章  监督检查与绩效管理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left"/>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第二十七条 项目依托学校应当自觉接受审计、纪检监察等有关部门对繁荣计划建设项目预算执行、资金使用效益和财务管理等情况的监督检查。对于截留、挤占、挪用繁荣计划专项资金的行为，以及因管理不善导致资金浪费、资产毁损的，视情节轻重，分别采取通报批评、停止拨款、撤销项目、追回已拨资金、取消项目承担者一定期限内项目申报资格等处理措施，涉嫌违法的移交司法机关处理。</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第二十八条 项目依托学校应当制定内部管理办法，明确审批程序和管理要求，落实项目预算调剂、间接费用统筹使用、劳务费分配管理、结转结余资金使用等自主权。</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项目依托学校应当完善内部风险防控机制，加强预算审核把关，规范财务支出行为，强化资金使用绩效评价，保障资金使用安全规范有效。</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项目依托学校应当实行内部公开制度，主动公开项目预算、预算调剂、决算、外拨资金、劳务费发放、间接费用、结余资金使用和研究成果等情况。</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项目依托学校和项目负责人应当严格遵守国家财经纪律，依法依规使用项目资金，不得擅自调整外拨资金，不得利用虚假票据套取资金，不得通过编造虚假合同、虚构人员名单等方式虚报冒领劳务费和专家咨询费，不得随意调账变动支出、随意修改记账凭证、以表代账应付财务审计和检查。</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第二十九条 加强繁荣计划专项资金项目绩效管理，建立健全全过程预算绩效管理机制。教育部在开展项目预算评审时，应对项目申请人设定的绩效目标进行审核，并将审核结果作为核定项目预算的重要参考因素。实施绩效目标执行监控，及时纠正绩效目标执行中的偏差，确保绩效目标如期实现。开展绩效评价，将评价结果作为今后资助的重要依据，建立项目资金使用和管理的信用机制、信息公开机制和责任追究机制，提高项目资金使用效益。</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第三十条 违反本办法规定的，依照《中华人民共和国预算法》、《财政违法行为处罚处分条例》等国家有关法律制度规定处理。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center"/>
        <w:rPr>
          <w:rFonts w:hint="eastAsia" w:ascii="宋体" w:hAnsi="宋体" w:eastAsia="宋体" w:cs="宋体"/>
          <w:sz w:val="21"/>
          <w:szCs w:val="21"/>
        </w:rPr>
      </w:pPr>
      <w:r>
        <w:rPr>
          <w:rStyle w:val="5"/>
          <w:rFonts w:hint="eastAsia" w:ascii="宋体" w:hAnsi="宋体" w:eastAsia="宋体" w:cs="宋体"/>
          <w:i w:val="0"/>
          <w:caps w:val="0"/>
          <w:color w:val="000000"/>
          <w:spacing w:val="0"/>
          <w:sz w:val="21"/>
          <w:szCs w:val="21"/>
          <w:bdr w:val="none" w:color="auto" w:sz="0" w:space="0"/>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jc w:val="left"/>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第三十一条 本办法由财政部、教育部负责解释。</w:t>
      </w:r>
      <w:r>
        <w:rPr>
          <w:rFonts w:hint="eastAsia" w:ascii="宋体" w:hAnsi="宋体" w:eastAsia="宋体" w:cs="宋体"/>
          <w:b w:val="0"/>
          <w:i w:val="0"/>
          <w:caps w:val="0"/>
          <w:color w:val="000000"/>
          <w:spacing w:val="0"/>
          <w:sz w:val="21"/>
          <w:szCs w:val="21"/>
          <w:bdr w:val="none" w:color="auto" w:sz="0" w:space="0"/>
        </w:rPr>
        <w:br w:type="textWrapping"/>
      </w:r>
      <w:r>
        <w:rPr>
          <w:rFonts w:hint="eastAsia" w:ascii="宋体" w:hAnsi="宋体" w:eastAsia="宋体" w:cs="宋体"/>
          <w:b w:val="0"/>
          <w:i w:val="0"/>
          <w:caps w:val="0"/>
          <w:color w:val="000000"/>
          <w:spacing w:val="0"/>
          <w:sz w:val="21"/>
          <w:szCs w:val="21"/>
          <w:bdr w:val="none" w:color="auto" w:sz="0" w:space="0"/>
        </w:rPr>
        <w:t>　　第三十二条 本办法自2016年12月1日起施行。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76"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rPr>
          <w:rFonts w:hint="eastAsia" w:ascii="宋体" w:hAnsi="宋体" w:eastAsia="宋体" w:cs="宋体"/>
          <w:b w:val="0"/>
          <w:i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7855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2017-01-05T08:50:48Z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